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CEBE951" w14:textId="77777777" w:rsidTr="00601DBA">
        <w:tc>
          <w:tcPr>
            <w:tcW w:w="1836" w:type="dxa"/>
          </w:tcPr>
          <w:p w14:paraId="688FB961" w14:textId="7777777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6CC7A51D" w14:textId="7777777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4216326F" w14:textId="77777777" w:rsidR="00451747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2B5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747"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SBR028-2106180050</w:t>
            </w:r>
          </w:p>
          <w:p w14:paraId="6899B18D" w14:textId="77777777" w:rsidR="00FB4DC9" w:rsidRPr="00601DBA" w:rsidRDefault="0045174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Савватьево</w:t>
            </w:r>
            <w:proofErr w:type="spellEnd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>Исаково</w:t>
            </w:r>
            <w:proofErr w:type="spellEnd"/>
            <w:r w:rsidRPr="0045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</w:t>
            </w:r>
          </w:p>
          <w:p w14:paraId="6B3D5745" w14:textId="77777777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2B49E53C" w14:textId="7777777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6BC46350" w14:textId="77777777" w:rsidTr="00601DBA">
        <w:tc>
          <w:tcPr>
            <w:tcW w:w="1836" w:type="dxa"/>
          </w:tcPr>
          <w:p w14:paraId="11629CF3" w14:textId="77777777" w:rsidR="000F6077" w:rsidRPr="00F61E66" w:rsidRDefault="002B5DF2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2">
              <w:rPr>
                <w:rFonts w:ascii="Times New Roman" w:hAnsi="Times New Roman" w:cs="Times New Roman"/>
                <w:sz w:val="28"/>
                <w:szCs w:val="28"/>
              </w:rPr>
              <w:t>08.07.2021 14:07</w:t>
            </w:r>
          </w:p>
        </w:tc>
        <w:tc>
          <w:tcPr>
            <w:tcW w:w="1801" w:type="dxa"/>
          </w:tcPr>
          <w:p w14:paraId="0F2BC58F" w14:textId="77777777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14:paraId="1D46CA08" w14:textId="77777777" w:rsidR="000F20D8" w:rsidRDefault="00451747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7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5DF2" w:rsidRPr="002B5DF2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Просим разъяснить положения документации конкурса № SBR028-2106180050 Конкурс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="002B5DF2" w:rsidRPr="002B5DF2">
              <w:rPr>
                <w:rFonts w:ascii="Times New Roman" w:hAnsi="Times New Roman" w:cs="Times New Roman"/>
                <w:sz w:val="28"/>
                <w:szCs w:val="28"/>
              </w:rPr>
              <w:t>Савватьево</w:t>
            </w:r>
            <w:proofErr w:type="spellEnd"/>
            <w:r w:rsidR="002B5DF2" w:rsidRPr="002B5D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B5DF2" w:rsidRPr="002B5DF2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="002B5DF2" w:rsidRPr="002B5DF2">
              <w:rPr>
                <w:rFonts w:ascii="Times New Roman" w:hAnsi="Times New Roman" w:cs="Times New Roman"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 </w:t>
            </w:r>
          </w:p>
          <w:p w14:paraId="3FC14888" w14:textId="77777777" w:rsidR="000F20D8" w:rsidRDefault="002B5DF2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2">
              <w:rPr>
                <w:rFonts w:ascii="Times New Roman" w:hAnsi="Times New Roman" w:cs="Times New Roman"/>
                <w:sz w:val="28"/>
                <w:szCs w:val="28"/>
              </w:rPr>
              <w:t xml:space="preserve">1. Просим обосновать применение понижающих коэффициентов к сметной стоимости работ по Договору? </w:t>
            </w:r>
          </w:p>
          <w:p w14:paraId="75086903" w14:textId="77777777" w:rsidR="000F20D8" w:rsidRDefault="002B5DF2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2">
              <w:rPr>
                <w:rFonts w:ascii="Times New Roman" w:hAnsi="Times New Roman" w:cs="Times New Roman"/>
                <w:sz w:val="28"/>
                <w:szCs w:val="28"/>
              </w:rPr>
              <w:t xml:space="preserve">2. В п.3.3. Договора предусмотрено </w:t>
            </w:r>
            <w:r w:rsidRPr="002B5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авансирование в размере 30% от стоимости договора. Авансирование производится частями. Согласно п. 10.4 подрядчик предоставляет обеспечение в размере аванса. Правильно ли мы понимаем, что БГ предоставляется на каждую часть аванса, а не на полное авансирование по договору? </w:t>
            </w:r>
          </w:p>
          <w:p w14:paraId="5EB18F99" w14:textId="77777777" w:rsidR="00FB4DC9" w:rsidRPr="00F61E66" w:rsidRDefault="002B5DF2" w:rsidP="00451747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F2">
              <w:rPr>
                <w:rFonts w:ascii="Times New Roman" w:hAnsi="Times New Roman" w:cs="Times New Roman"/>
                <w:sz w:val="28"/>
                <w:szCs w:val="28"/>
              </w:rPr>
              <w:t>3. П. 10.4. Договора указан перечень документов, предоставляемых вместе с обеспечением. Просим рассмотреть возможность корректировки данного пункта и убрать требование по предоставлению копии соглашения/договора между банком – гарантом и подрядчиком, т.к. на текущий момент не все Банки предоставляют данное соглашение, а БГ выпускается на Общих условиях, размещенных на официальном сайте Банка-Гаранта. БГ выпускается на основании заявки и оплаченного счета.</w:t>
            </w:r>
          </w:p>
        </w:tc>
        <w:tc>
          <w:tcPr>
            <w:tcW w:w="6662" w:type="dxa"/>
          </w:tcPr>
          <w:p w14:paraId="407BE809" w14:textId="77777777" w:rsidR="00FB4DC9" w:rsidRDefault="00893EE0" w:rsidP="002B5DF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893EE0">
              <w:rPr>
                <w:color w:val="000000"/>
                <w:sz w:val="28"/>
                <w:szCs w:val="28"/>
              </w:rPr>
              <w:t xml:space="preserve"> В данном случае верстовые столбы были установлены с учётом одинаковых проектных решений. Поэтому в расчёт стоимости научно-проектной документации на все верстовые столбы, кроме первого, включён коэффициент повторного применения К=0,2 (Методические указания по применению СБЦ для строительства, 2009 г. Часть III п. 3.2).</w:t>
            </w:r>
          </w:p>
          <w:p w14:paraId="7EF431AF" w14:textId="77777777" w:rsidR="00893EE0" w:rsidRDefault="00893EE0" w:rsidP="00893EE0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Согласно п. </w:t>
            </w:r>
            <w:r w:rsidRPr="00893EE0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 xml:space="preserve"> проекта договора </w:t>
            </w:r>
            <w:r w:rsidRPr="00893EE0">
              <w:rPr>
                <w:color w:val="000000"/>
                <w:sz w:val="28"/>
                <w:szCs w:val="28"/>
              </w:rPr>
              <w:t>Заказчик осуществляет оплату аванса в размере 30 (тридцати) процентов от стоимости Работ, запланированных к выполнению Подрядчиком Графиком выполнения работ (Приложение № 3 к Договору).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3EE0">
              <w:rPr>
                <w:color w:val="000000"/>
                <w:sz w:val="28"/>
                <w:szCs w:val="28"/>
              </w:rPr>
              <w:t>Оплата Заказчиком аванса осуществляется частями</w:t>
            </w:r>
            <w:r>
              <w:rPr>
                <w:color w:val="000000"/>
                <w:sz w:val="28"/>
                <w:szCs w:val="28"/>
              </w:rPr>
              <w:t xml:space="preserve"> в соответствии с распределением финансовых средств. </w:t>
            </w:r>
            <w:r w:rsidRPr="00893EE0">
              <w:rPr>
                <w:color w:val="000000"/>
                <w:sz w:val="28"/>
                <w:szCs w:val="28"/>
              </w:rPr>
              <w:t xml:space="preserve">Оплата Заказчиком аванса осуществляется в течение </w:t>
            </w:r>
            <w:r w:rsidRPr="00893EE0">
              <w:rPr>
                <w:color w:val="000000"/>
                <w:sz w:val="28"/>
                <w:szCs w:val="28"/>
              </w:rPr>
              <w:lastRenderedPageBreak/>
              <w:t>10 (десяти) рабочих дней после дня предоставления Подрядчиком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3EE0">
              <w:rPr>
                <w:color w:val="000000"/>
                <w:sz w:val="28"/>
                <w:szCs w:val="28"/>
              </w:rPr>
              <w:t>документов, установленных пунктом 10.4 Договора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893EE0">
              <w:rPr>
                <w:color w:val="000000"/>
                <w:sz w:val="28"/>
                <w:szCs w:val="28"/>
              </w:rPr>
              <w:t>счета на аванс.</w:t>
            </w:r>
            <w:r>
              <w:rPr>
                <w:color w:val="000000"/>
                <w:sz w:val="28"/>
                <w:szCs w:val="28"/>
              </w:rPr>
              <w:t xml:space="preserve"> Согласно п. 10.1 проекта договора банковская гарантия предоставляется на </w:t>
            </w:r>
            <w:r w:rsidRPr="00893EE0">
              <w:rPr>
                <w:color w:val="000000"/>
                <w:sz w:val="28"/>
                <w:szCs w:val="28"/>
              </w:rPr>
              <w:t>сумму аванса.</w:t>
            </w:r>
            <w:r>
              <w:rPr>
                <w:color w:val="000000"/>
                <w:sz w:val="28"/>
                <w:szCs w:val="28"/>
              </w:rPr>
              <w:t xml:space="preserve"> Соответственно, если договором предусмотрено несколько авансовых платежей, банковская гарантия должна предоставляться на каждый из таких авансовых платежей.</w:t>
            </w:r>
          </w:p>
          <w:p w14:paraId="5CDED5FE" w14:textId="4FC5B8D3" w:rsidR="00893EE0" w:rsidRPr="00035810" w:rsidRDefault="00893EE0" w:rsidP="00893EE0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 Согласно п. 10.4 проекта договора Подрядчик предоставляет </w:t>
            </w:r>
            <w:r w:rsidRPr="00893EE0">
              <w:rPr>
                <w:color w:val="000000"/>
                <w:sz w:val="28"/>
                <w:szCs w:val="28"/>
              </w:rPr>
              <w:t>копи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893EE0">
              <w:rPr>
                <w:color w:val="000000"/>
                <w:sz w:val="28"/>
                <w:szCs w:val="28"/>
              </w:rPr>
              <w:t>соглашения/договора между банком</w:t>
            </w:r>
            <w:r>
              <w:rPr>
                <w:color w:val="000000"/>
                <w:sz w:val="28"/>
                <w:szCs w:val="28"/>
              </w:rPr>
              <w:t xml:space="preserve"> и Подрядчиком. При этом</w:t>
            </w:r>
            <w:r w:rsidR="00717FB6">
              <w:rPr>
                <w:color w:val="000000"/>
                <w:sz w:val="28"/>
                <w:szCs w:val="28"/>
              </w:rPr>
              <w:t>, если такое соглашение/договор отсутствует физически, данные о присоединении Подрядчика (Принципала) к Правилам предоставления банковских гарантий или к «Общим условиях, размещенных на официальном сайте банка-гаранта» подлежат внесению в п. 15 Приложения № 5 к проекту договора.</w:t>
            </w:r>
          </w:p>
        </w:tc>
      </w:tr>
    </w:tbl>
    <w:p w14:paraId="6822DF6F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98"/>
    <w:rsid w:val="000073E6"/>
    <w:rsid w:val="00035810"/>
    <w:rsid w:val="000F20D8"/>
    <w:rsid w:val="000F56FC"/>
    <w:rsid w:val="000F6077"/>
    <w:rsid w:val="0021565C"/>
    <w:rsid w:val="00223791"/>
    <w:rsid w:val="002761E3"/>
    <w:rsid w:val="002B5DF2"/>
    <w:rsid w:val="002C0DA0"/>
    <w:rsid w:val="00324224"/>
    <w:rsid w:val="00397613"/>
    <w:rsid w:val="00451747"/>
    <w:rsid w:val="00466C9A"/>
    <w:rsid w:val="004B7F17"/>
    <w:rsid w:val="00510CD8"/>
    <w:rsid w:val="00514222"/>
    <w:rsid w:val="005572CD"/>
    <w:rsid w:val="00596CFC"/>
    <w:rsid w:val="005A7FC8"/>
    <w:rsid w:val="00601DBA"/>
    <w:rsid w:val="00650C02"/>
    <w:rsid w:val="00697228"/>
    <w:rsid w:val="006D3193"/>
    <w:rsid w:val="00717FB6"/>
    <w:rsid w:val="007828BC"/>
    <w:rsid w:val="00795CE1"/>
    <w:rsid w:val="007A23B1"/>
    <w:rsid w:val="007D0995"/>
    <w:rsid w:val="00805066"/>
    <w:rsid w:val="00811055"/>
    <w:rsid w:val="00822632"/>
    <w:rsid w:val="00893EE0"/>
    <w:rsid w:val="008A4DB3"/>
    <w:rsid w:val="00920DCC"/>
    <w:rsid w:val="009A1909"/>
    <w:rsid w:val="009A7CD9"/>
    <w:rsid w:val="00A338FF"/>
    <w:rsid w:val="00A818CA"/>
    <w:rsid w:val="00AD7D62"/>
    <w:rsid w:val="00AE1C98"/>
    <w:rsid w:val="00B0132D"/>
    <w:rsid w:val="00B233C5"/>
    <w:rsid w:val="00B30AC6"/>
    <w:rsid w:val="00B35BAA"/>
    <w:rsid w:val="00B63F07"/>
    <w:rsid w:val="00B84A93"/>
    <w:rsid w:val="00BC531F"/>
    <w:rsid w:val="00C26C98"/>
    <w:rsid w:val="00C51769"/>
    <w:rsid w:val="00C720A7"/>
    <w:rsid w:val="00CC4889"/>
    <w:rsid w:val="00D1744D"/>
    <w:rsid w:val="00D74605"/>
    <w:rsid w:val="00DA39C6"/>
    <w:rsid w:val="00EB3635"/>
    <w:rsid w:val="00ED3EE7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C88"/>
  <w15:docId w15:val="{7B043854-D987-41EE-98CB-58E56380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5</cp:revision>
  <cp:lastPrinted>2019-11-01T11:52:00Z</cp:lastPrinted>
  <dcterms:created xsi:type="dcterms:W3CDTF">2021-07-08T19:19:00Z</dcterms:created>
  <dcterms:modified xsi:type="dcterms:W3CDTF">2021-07-09T08:44:00Z</dcterms:modified>
</cp:coreProperties>
</file>