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5876" w:type="dxa"/>
        <w:tblInd w:w="-572" w:type="dxa"/>
        <w:tblLook w:val="04A0" w:firstRow="1" w:lastRow="0" w:firstColumn="1" w:lastColumn="0" w:noHBand="0" w:noVBand="1"/>
      </w:tblPr>
      <w:tblGrid>
        <w:gridCol w:w="1836"/>
        <w:gridCol w:w="1801"/>
        <w:gridCol w:w="5577"/>
        <w:gridCol w:w="6662"/>
      </w:tblGrid>
      <w:tr w:rsidR="000F6077" w:rsidRPr="00514222" w14:paraId="4F5658EC" w14:textId="77777777" w:rsidTr="00601DBA">
        <w:tc>
          <w:tcPr>
            <w:tcW w:w="1836" w:type="dxa"/>
          </w:tcPr>
          <w:p w14:paraId="21C6B639" w14:textId="1D38F137"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Дата поступления запроса</w:t>
            </w:r>
          </w:p>
        </w:tc>
        <w:tc>
          <w:tcPr>
            <w:tcW w:w="1801" w:type="dxa"/>
          </w:tcPr>
          <w:p w14:paraId="5F497CDA" w14:textId="2F64DEBC"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Тема запроса</w:t>
            </w:r>
          </w:p>
        </w:tc>
        <w:tc>
          <w:tcPr>
            <w:tcW w:w="5577" w:type="dxa"/>
          </w:tcPr>
          <w:p w14:paraId="7AD6EF01" w14:textId="03C98D78" w:rsidR="00FB4DC9" w:rsidRPr="00601DBA" w:rsidRDefault="000F6077" w:rsidP="00FB4DC9">
            <w:pPr>
              <w:jc w:val="center"/>
              <w:rPr>
                <w:rFonts w:ascii="Times New Roman" w:hAnsi="Times New Roman" w:cs="Times New Roman"/>
                <w:b/>
                <w:sz w:val="28"/>
                <w:szCs w:val="28"/>
              </w:rPr>
            </w:pPr>
            <w:r w:rsidRPr="00601DBA">
              <w:rPr>
                <w:rFonts w:ascii="Times New Roman" w:hAnsi="Times New Roman" w:cs="Times New Roman"/>
                <w:b/>
                <w:sz w:val="28"/>
                <w:szCs w:val="28"/>
              </w:rPr>
              <w:t>Текст запроса</w:t>
            </w:r>
            <w:r w:rsidR="005572CD" w:rsidRPr="00601DBA">
              <w:rPr>
                <w:rFonts w:ascii="Times New Roman" w:hAnsi="Times New Roman" w:cs="Times New Roman"/>
                <w:b/>
                <w:sz w:val="28"/>
                <w:szCs w:val="28"/>
              </w:rPr>
              <w:t xml:space="preserve"> по закупочной процедуре</w:t>
            </w:r>
            <w:r w:rsidR="00F61E66" w:rsidRPr="00601DBA">
              <w:rPr>
                <w:rFonts w:ascii="Times New Roman" w:hAnsi="Times New Roman" w:cs="Times New Roman"/>
                <w:b/>
                <w:sz w:val="28"/>
                <w:szCs w:val="28"/>
              </w:rPr>
              <w:t xml:space="preserve"> </w:t>
            </w:r>
          </w:p>
          <w:p w14:paraId="2147905D" w14:textId="5102FED8" w:rsidR="005572CD" w:rsidRPr="00601DBA" w:rsidRDefault="005572CD" w:rsidP="00F61E66">
            <w:pPr>
              <w:jc w:val="center"/>
              <w:rPr>
                <w:rFonts w:ascii="Times New Roman" w:hAnsi="Times New Roman" w:cs="Times New Roman"/>
                <w:b/>
                <w:sz w:val="28"/>
                <w:szCs w:val="28"/>
              </w:rPr>
            </w:pPr>
          </w:p>
        </w:tc>
        <w:tc>
          <w:tcPr>
            <w:tcW w:w="6662" w:type="dxa"/>
          </w:tcPr>
          <w:p w14:paraId="5179F91B" w14:textId="351793B3" w:rsidR="000F6077" w:rsidRPr="00601DBA" w:rsidRDefault="000F6077" w:rsidP="004B7F17">
            <w:pPr>
              <w:jc w:val="center"/>
              <w:rPr>
                <w:rFonts w:ascii="Times New Roman" w:hAnsi="Times New Roman" w:cs="Times New Roman"/>
                <w:b/>
                <w:sz w:val="28"/>
                <w:szCs w:val="28"/>
              </w:rPr>
            </w:pPr>
            <w:r w:rsidRPr="00601DBA">
              <w:rPr>
                <w:rFonts w:ascii="Times New Roman" w:hAnsi="Times New Roman" w:cs="Times New Roman"/>
                <w:b/>
                <w:sz w:val="28"/>
                <w:szCs w:val="28"/>
              </w:rPr>
              <w:t>Разъяснение</w:t>
            </w:r>
          </w:p>
        </w:tc>
      </w:tr>
      <w:tr w:rsidR="000F6077" w:rsidRPr="00F61E66" w14:paraId="391508EB" w14:textId="77777777" w:rsidTr="00601DBA">
        <w:tc>
          <w:tcPr>
            <w:tcW w:w="1836" w:type="dxa"/>
          </w:tcPr>
          <w:p w14:paraId="1DD49814" w14:textId="679FA61C" w:rsidR="000F6077" w:rsidRPr="00F61E66" w:rsidRDefault="009A7CD9" w:rsidP="004B7F17">
            <w:pPr>
              <w:jc w:val="both"/>
              <w:rPr>
                <w:rFonts w:ascii="Times New Roman" w:hAnsi="Times New Roman" w:cs="Times New Roman"/>
                <w:sz w:val="28"/>
                <w:szCs w:val="28"/>
              </w:rPr>
            </w:pPr>
            <w:r w:rsidRPr="009A7CD9">
              <w:rPr>
                <w:rFonts w:ascii="Times New Roman" w:hAnsi="Times New Roman" w:cs="Times New Roman"/>
                <w:sz w:val="28"/>
                <w:szCs w:val="28"/>
              </w:rPr>
              <w:t>12.11.2020 18:19</w:t>
            </w:r>
          </w:p>
        </w:tc>
        <w:tc>
          <w:tcPr>
            <w:tcW w:w="1801" w:type="dxa"/>
          </w:tcPr>
          <w:p w14:paraId="56717125" w14:textId="220AB856" w:rsidR="000F6077" w:rsidRPr="00F61E66" w:rsidRDefault="008A4DB3" w:rsidP="004B7F17">
            <w:pPr>
              <w:jc w:val="both"/>
              <w:rPr>
                <w:rFonts w:ascii="Times New Roman" w:hAnsi="Times New Roman" w:cs="Times New Roman"/>
                <w:sz w:val="28"/>
                <w:szCs w:val="28"/>
              </w:rPr>
            </w:pPr>
            <w:r w:rsidRPr="00F61E66">
              <w:rPr>
                <w:rFonts w:ascii="Times New Roman" w:hAnsi="Times New Roman" w:cs="Times New Roman"/>
                <w:sz w:val="28"/>
                <w:szCs w:val="28"/>
              </w:rPr>
              <w:t>Прошу дать разъяснения</w:t>
            </w:r>
          </w:p>
        </w:tc>
        <w:tc>
          <w:tcPr>
            <w:tcW w:w="5577" w:type="dxa"/>
          </w:tcPr>
          <w:p w14:paraId="35949577" w14:textId="77777777" w:rsidR="009A7CD9" w:rsidRPr="009A7CD9" w:rsidRDefault="009A7CD9" w:rsidP="009A7CD9">
            <w:pPr>
              <w:ind w:firstLine="394"/>
              <w:jc w:val="both"/>
              <w:rPr>
                <w:rFonts w:ascii="Times New Roman" w:hAnsi="Times New Roman" w:cs="Times New Roman"/>
                <w:sz w:val="28"/>
                <w:szCs w:val="28"/>
              </w:rPr>
            </w:pPr>
            <w:r w:rsidRPr="009A7CD9">
              <w:rPr>
                <w:rFonts w:ascii="Times New Roman" w:hAnsi="Times New Roman" w:cs="Times New Roman"/>
                <w:sz w:val="28"/>
                <w:szCs w:val="28"/>
              </w:rPr>
              <w:t>Уважаемый Заказчик!</w:t>
            </w:r>
          </w:p>
          <w:p w14:paraId="1E9BBA8C" w14:textId="77777777" w:rsidR="009A7CD9" w:rsidRDefault="009A7CD9" w:rsidP="009A7CD9">
            <w:pPr>
              <w:ind w:firstLine="394"/>
              <w:jc w:val="both"/>
              <w:rPr>
                <w:rFonts w:ascii="Times New Roman" w:hAnsi="Times New Roman" w:cs="Times New Roman"/>
                <w:sz w:val="28"/>
                <w:szCs w:val="28"/>
              </w:rPr>
            </w:pPr>
          </w:p>
          <w:p w14:paraId="2036B852" w14:textId="4E1534E9" w:rsidR="009A7CD9" w:rsidRPr="009A7CD9" w:rsidRDefault="009A7CD9" w:rsidP="009A7CD9">
            <w:pPr>
              <w:ind w:firstLine="394"/>
              <w:jc w:val="both"/>
              <w:rPr>
                <w:rFonts w:ascii="Times New Roman" w:hAnsi="Times New Roman" w:cs="Times New Roman"/>
                <w:sz w:val="28"/>
                <w:szCs w:val="28"/>
              </w:rPr>
            </w:pPr>
            <w:r w:rsidRPr="009A7CD9">
              <w:rPr>
                <w:rFonts w:ascii="Times New Roman" w:hAnsi="Times New Roman" w:cs="Times New Roman"/>
                <w:sz w:val="28"/>
                <w:szCs w:val="28"/>
              </w:rPr>
              <w:t>Просим, пожалуйста разъяснить, а в случае ошибки или несоответствия внести изменения в Техническую документацию согласно нижеуказанным комментариям:</w:t>
            </w:r>
          </w:p>
          <w:p w14:paraId="6E49DD34" w14:textId="759BB407" w:rsidR="009A7CD9" w:rsidRPr="009A7CD9" w:rsidRDefault="009A7CD9" w:rsidP="009A7CD9">
            <w:pPr>
              <w:ind w:firstLine="394"/>
              <w:jc w:val="both"/>
              <w:rPr>
                <w:rFonts w:ascii="Times New Roman" w:hAnsi="Times New Roman" w:cs="Times New Roman"/>
                <w:sz w:val="28"/>
                <w:szCs w:val="28"/>
              </w:rPr>
            </w:pPr>
            <w:r w:rsidRPr="009A7CD9">
              <w:rPr>
                <w:rFonts w:ascii="Times New Roman" w:hAnsi="Times New Roman" w:cs="Times New Roman"/>
                <w:sz w:val="28"/>
                <w:szCs w:val="28"/>
              </w:rPr>
              <w:t>Согласно Технической документации,</w:t>
            </w:r>
            <w:r w:rsidRPr="009A7CD9">
              <w:rPr>
                <w:rFonts w:ascii="Times New Roman" w:hAnsi="Times New Roman" w:cs="Times New Roman"/>
                <w:sz w:val="28"/>
                <w:szCs w:val="28"/>
              </w:rPr>
              <w:t xml:space="preserve"> разработка противоаварийных мероприятий параллельно предварительным работам, однако решение о необходимости противоаварийных мероприятий принимается по результатам предварительных работ.</w:t>
            </w:r>
          </w:p>
          <w:p w14:paraId="22B815AB" w14:textId="77777777" w:rsidR="009A7CD9" w:rsidRPr="009A7CD9" w:rsidRDefault="009A7CD9" w:rsidP="009A7CD9">
            <w:pPr>
              <w:ind w:firstLine="394"/>
              <w:jc w:val="both"/>
              <w:rPr>
                <w:rFonts w:ascii="Times New Roman" w:hAnsi="Times New Roman" w:cs="Times New Roman"/>
                <w:sz w:val="28"/>
                <w:szCs w:val="28"/>
              </w:rPr>
            </w:pPr>
            <w:r w:rsidRPr="009A7CD9">
              <w:rPr>
                <w:rFonts w:ascii="Times New Roman" w:hAnsi="Times New Roman" w:cs="Times New Roman"/>
                <w:sz w:val="28"/>
                <w:szCs w:val="28"/>
              </w:rPr>
              <w:t>В соответствии с заданием на проведение работ по сохранению ОКН от 06.03.2020 № РЗ-46/20, в рамках выполнения комплексных научных исследований, необходимо проведение "исследований по объемным параметрам и специальных инженерно-технологических исследований", что подразумевает в соответствии с п.7.3.3 ГОСТ 555528-2013:</w:t>
            </w:r>
          </w:p>
          <w:p w14:paraId="0B240BAE" w14:textId="77777777" w:rsidR="009A7CD9" w:rsidRPr="009A7CD9" w:rsidRDefault="009A7CD9" w:rsidP="009A7CD9">
            <w:pPr>
              <w:ind w:firstLine="394"/>
              <w:jc w:val="both"/>
              <w:rPr>
                <w:rFonts w:ascii="Times New Roman" w:hAnsi="Times New Roman" w:cs="Times New Roman"/>
                <w:sz w:val="28"/>
                <w:szCs w:val="28"/>
              </w:rPr>
            </w:pPr>
            <w:r w:rsidRPr="009A7CD9">
              <w:rPr>
                <w:rFonts w:ascii="Times New Roman" w:hAnsi="Times New Roman" w:cs="Times New Roman"/>
                <w:sz w:val="28"/>
                <w:szCs w:val="28"/>
              </w:rPr>
              <w:t xml:space="preserve">...результаты исследований и расчетов объемных параметров, утраченных частей объекта; результаты исследований и расчетов по определению оптимальных физико-технических параметров и температурно-влажностного режима </w:t>
            </w:r>
            <w:r w:rsidRPr="009A7CD9">
              <w:rPr>
                <w:rFonts w:ascii="Times New Roman" w:hAnsi="Times New Roman" w:cs="Times New Roman"/>
                <w:sz w:val="28"/>
                <w:szCs w:val="28"/>
              </w:rPr>
              <w:lastRenderedPageBreak/>
              <w:t>объекта в целях обеспечения его физического  долголетия и сохранности при современном использовании с учетом влияния антропогенных, техногенных и климатических воздействий, существующей или планируемой топографической, ландшафтной и градостроительной ситуаций, гидрогеологических условий и поведения грунтов основания; результаты исследований по разработке методов защиты от неблагоприятных воздействий.</w:t>
            </w:r>
          </w:p>
          <w:p w14:paraId="00E0BB6D" w14:textId="77777777" w:rsidR="009A7CD9" w:rsidRPr="009A7CD9" w:rsidRDefault="009A7CD9" w:rsidP="009A7CD9">
            <w:pPr>
              <w:ind w:firstLine="394"/>
              <w:jc w:val="both"/>
              <w:rPr>
                <w:rFonts w:ascii="Times New Roman" w:hAnsi="Times New Roman" w:cs="Times New Roman"/>
                <w:sz w:val="28"/>
                <w:szCs w:val="28"/>
              </w:rPr>
            </w:pPr>
            <w:r w:rsidRPr="009A7CD9">
              <w:rPr>
                <w:rFonts w:ascii="Times New Roman" w:hAnsi="Times New Roman" w:cs="Times New Roman"/>
                <w:sz w:val="28"/>
                <w:szCs w:val="28"/>
              </w:rPr>
              <w:t>Техническим заданием к контракту, выполнение таких исследований не предусмотрено.</w:t>
            </w:r>
          </w:p>
          <w:p w14:paraId="4882F454" w14:textId="77777777" w:rsidR="009A7CD9" w:rsidRPr="009A7CD9" w:rsidRDefault="009A7CD9" w:rsidP="009A7CD9">
            <w:pPr>
              <w:ind w:firstLine="394"/>
              <w:jc w:val="both"/>
              <w:rPr>
                <w:rFonts w:ascii="Times New Roman" w:hAnsi="Times New Roman" w:cs="Times New Roman"/>
                <w:sz w:val="28"/>
                <w:szCs w:val="28"/>
              </w:rPr>
            </w:pPr>
            <w:r w:rsidRPr="009A7CD9">
              <w:rPr>
                <w:rFonts w:ascii="Times New Roman" w:hAnsi="Times New Roman" w:cs="Times New Roman"/>
                <w:sz w:val="28"/>
                <w:szCs w:val="28"/>
              </w:rPr>
              <w:t>Кроме того, в соответствии с п.3.1 ТЗ к контракту, в рамках предварительных работ требуется получить разрешение на проведение работ по сохранению объекта культурного наследия, однако не указано, что для получения разрешения нужно выполнить раздел обеспечения сохранности ОКН на этап инженерных изысканий и выполнить ИКЭ, получить акт и потом уже получить согласование МКРФ, все это требует большего времени, чем заложено в графике Технической документации.</w:t>
            </w:r>
          </w:p>
          <w:p w14:paraId="512F4A2A" w14:textId="62E4090A" w:rsidR="00FB4DC9" w:rsidRDefault="009A7CD9" w:rsidP="009A7CD9">
            <w:pPr>
              <w:ind w:firstLine="394"/>
              <w:jc w:val="both"/>
              <w:rPr>
                <w:rFonts w:ascii="Times New Roman" w:hAnsi="Times New Roman" w:cs="Times New Roman"/>
                <w:sz w:val="28"/>
                <w:szCs w:val="28"/>
              </w:rPr>
            </w:pPr>
            <w:r w:rsidRPr="009A7CD9">
              <w:rPr>
                <w:rFonts w:ascii="Times New Roman" w:hAnsi="Times New Roman" w:cs="Times New Roman"/>
                <w:sz w:val="28"/>
                <w:szCs w:val="28"/>
              </w:rPr>
              <w:t xml:space="preserve">  Также в настоящий момент из-за пандемии могут возникнуть сложности с организацией       работ подрядчиков и проведению инженерных изысканий.</w:t>
            </w:r>
          </w:p>
          <w:p w14:paraId="256E8575" w14:textId="77777777" w:rsidR="00FB4DC9" w:rsidRDefault="00FB4DC9" w:rsidP="004B7F17">
            <w:pPr>
              <w:ind w:firstLine="394"/>
              <w:jc w:val="both"/>
              <w:rPr>
                <w:rFonts w:ascii="Times New Roman" w:hAnsi="Times New Roman" w:cs="Times New Roman"/>
                <w:sz w:val="28"/>
                <w:szCs w:val="28"/>
              </w:rPr>
            </w:pPr>
          </w:p>
          <w:p w14:paraId="292967E2" w14:textId="77777777" w:rsidR="00FB4DC9" w:rsidRDefault="00FB4DC9" w:rsidP="004B7F17">
            <w:pPr>
              <w:ind w:firstLine="394"/>
              <w:jc w:val="both"/>
              <w:rPr>
                <w:rFonts w:ascii="Times New Roman" w:hAnsi="Times New Roman" w:cs="Times New Roman"/>
                <w:sz w:val="28"/>
                <w:szCs w:val="28"/>
              </w:rPr>
            </w:pPr>
          </w:p>
          <w:p w14:paraId="231A492B" w14:textId="77777777" w:rsidR="00FB4DC9" w:rsidRDefault="00FB4DC9" w:rsidP="004B7F17">
            <w:pPr>
              <w:ind w:firstLine="394"/>
              <w:jc w:val="both"/>
              <w:rPr>
                <w:rFonts w:ascii="Times New Roman" w:hAnsi="Times New Roman" w:cs="Times New Roman"/>
                <w:sz w:val="28"/>
                <w:szCs w:val="28"/>
              </w:rPr>
            </w:pPr>
          </w:p>
          <w:p w14:paraId="590E8CA7" w14:textId="3483106F" w:rsidR="00FB4DC9" w:rsidRPr="00F61E66" w:rsidRDefault="00FB4DC9" w:rsidP="004B7F17">
            <w:pPr>
              <w:ind w:firstLine="394"/>
              <w:jc w:val="both"/>
              <w:rPr>
                <w:rFonts w:ascii="Times New Roman" w:hAnsi="Times New Roman" w:cs="Times New Roman"/>
                <w:sz w:val="28"/>
                <w:szCs w:val="28"/>
              </w:rPr>
            </w:pPr>
          </w:p>
        </w:tc>
        <w:tc>
          <w:tcPr>
            <w:tcW w:w="6662" w:type="dxa"/>
          </w:tcPr>
          <w:p w14:paraId="3DAF8A2E" w14:textId="77777777" w:rsidR="009A7CD9" w:rsidRDefault="009A7CD9" w:rsidP="009A7CD9">
            <w:pPr>
              <w:ind w:firstLine="310"/>
              <w:jc w:val="both"/>
              <w:rPr>
                <w:rFonts w:ascii="Times New Roman" w:hAnsi="Times New Roman" w:cs="Times New Roman"/>
                <w:sz w:val="28"/>
                <w:szCs w:val="28"/>
              </w:rPr>
            </w:pPr>
          </w:p>
          <w:p w14:paraId="180506B5" w14:textId="77777777" w:rsidR="0021565C" w:rsidRDefault="0021565C" w:rsidP="009A7CD9">
            <w:pPr>
              <w:ind w:firstLine="310"/>
              <w:jc w:val="both"/>
              <w:rPr>
                <w:rFonts w:ascii="Times New Roman" w:hAnsi="Times New Roman" w:cs="Times New Roman"/>
                <w:sz w:val="28"/>
                <w:szCs w:val="28"/>
              </w:rPr>
            </w:pPr>
          </w:p>
          <w:p w14:paraId="17CCBEB8" w14:textId="4E792173" w:rsidR="009A7CD9" w:rsidRPr="009A7CD9" w:rsidRDefault="009A7CD9" w:rsidP="009A7CD9">
            <w:pPr>
              <w:ind w:firstLine="310"/>
              <w:jc w:val="both"/>
              <w:rPr>
                <w:rFonts w:ascii="Times New Roman" w:hAnsi="Times New Roman" w:cs="Times New Roman"/>
                <w:sz w:val="28"/>
                <w:szCs w:val="28"/>
              </w:rPr>
            </w:pPr>
            <w:r w:rsidRPr="009A7CD9">
              <w:rPr>
                <w:rFonts w:ascii="Times New Roman" w:hAnsi="Times New Roman" w:cs="Times New Roman"/>
                <w:sz w:val="28"/>
                <w:szCs w:val="28"/>
              </w:rPr>
              <w:t>В ответ на запрос о разъяснении технической документации к конкурсу на право заключения договора на разработку научно-проектной документации для проведения работ по сохранению объекта культурного наследия федерального значения «Салотопенный завод», 1842 г № SBR028-2010310001 от 12.11.2020 № 149 Фонд по сохранению и развитию Соловецкого архипелага сообщает следующее.</w:t>
            </w:r>
          </w:p>
          <w:p w14:paraId="24BD69C5" w14:textId="77777777" w:rsidR="009A7CD9" w:rsidRPr="009A7CD9" w:rsidRDefault="009A7CD9" w:rsidP="009A7CD9">
            <w:pPr>
              <w:ind w:firstLine="310"/>
              <w:jc w:val="both"/>
              <w:rPr>
                <w:rFonts w:ascii="Times New Roman" w:hAnsi="Times New Roman" w:cs="Times New Roman"/>
                <w:sz w:val="28"/>
                <w:szCs w:val="28"/>
              </w:rPr>
            </w:pPr>
            <w:r w:rsidRPr="009A7CD9">
              <w:rPr>
                <w:rFonts w:ascii="Times New Roman" w:hAnsi="Times New Roman" w:cs="Times New Roman"/>
                <w:sz w:val="28"/>
                <w:szCs w:val="28"/>
              </w:rPr>
              <w:t xml:space="preserve">Разъяснение по пункту 1, 3. В соответствии с п.7.2.1 ГОСТ Р 55528-2013 проект первоочередных противоаварийных и консервационных мероприятий разрабатывается в составе предварительных работ. Проектная документация на проведение консервационных работ, в том числе комплекса противоаварийных работ по защите объекта культурного наследия, которому угрожает быстрое разрушение, должна учитывать исключительно мероприятия, связанные с выведением объекта из аварийного состояния. </w:t>
            </w:r>
          </w:p>
          <w:p w14:paraId="118F64A4" w14:textId="77777777" w:rsidR="009A7CD9" w:rsidRPr="009A7CD9" w:rsidRDefault="009A7CD9" w:rsidP="009A7CD9">
            <w:pPr>
              <w:ind w:firstLine="310"/>
              <w:jc w:val="both"/>
              <w:rPr>
                <w:rFonts w:ascii="Times New Roman" w:hAnsi="Times New Roman" w:cs="Times New Roman"/>
                <w:sz w:val="28"/>
                <w:szCs w:val="28"/>
              </w:rPr>
            </w:pPr>
            <w:r w:rsidRPr="009A7CD9">
              <w:rPr>
                <w:rFonts w:ascii="Times New Roman" w:hAnsi="Times New Roman" w:cs="Times New Roman"/>
                <w:sz w:val="28"/>
                <w:szCs w:val="28"/>
              </w:rPr>
              <w:t xml:space="preserve">Графиком работ в составе конкурсной документации для выполнения 1-го этапа включающего Предварительные работы, Противоаварийные работы с разработкой разделов обеспечения сохранности, получением согласований и разрешения на производство работ предусмотрена продолжительность 180 дней, что является </w:t>
            </w:r>
            <w:r w:rsidRPr="009A7CD9">
              <w:rPr>
                <w:rFonts w:ascii="Times New Roman" w:hAnsi="Times New Roman" w:cs="Times New Roman"/>
                <w:sz w:val="28"/>
                <w:szCs w:val="28"/>
              </w:rPr>
              <w:lastRenderedPageBreak/>
              <w:t>достаточным сроком для выполнения работ и получения необходимых согласований. Разработка указанных разделов и получение согласований для проведения инженерных изысканий отражена в подразделе Инженерные изыскания, продолжительностью работ 210 дней.</w:t>
            </w:r>
          </w:p>
          <w:p w14:paraId="6CB50C50" w14:textId="77777777" w:rsidR="0021565C" w:rsidRDefault="0021565C" w:rsidP="009A7CD9">
            <w:pPr>
              <w:ind w:firstLine="310"/>
              <w:jc w:val="both"/>
              <w:rPr>
                <w:rFonts w:ascii="Times New Roman" w:hAnsi="Times New Roman" w:cs="Times New Roman"/>
                <w:sz w:val="28"/>
                <w:szCs w:val="28"/>
              </w:rPr>
            </w:pPr>
          </w:p>
          <w:p w14:paraId="1BD05019" w14:textId="77777777" w:rsidR="0021565C" w:rsidRDefault="0021565C" w:rsidP="009A7CD9">
            <w:pPr>
              <w:ind w:firstLine="310"/>
              <w:jc w:val="both"/>
              <w:rPr>
                <w:rFonts w:ascii="Times New Roman" w:hAnsi="Times New Roman" w:cs="Times New Roman"/>
                <w:sz w:val="28"/>
                <w:szCs w:val="28"/>
              </w:rPr>
            </w:pPr>
          </w:p>
          <w:p w14:paraId="33EE2AE1" w14:textId="77777777" w:rsidR="0021565C" w:rsidRDefault="0021565C" w:rsidP="009A7CD9">
            <w:pPr>
              <w:ind w:firstLine="310"/>
              <w:jc w:val="both"/>
              <w:rPr>
                <w:rFonts w:ascii="Times New Roman" w:hAnsi="Times New Roman" w:cs="Times New Roman"/>
                <w:sz w:val="28"/>
                <w:szCs w:val="28"/>
              </w:rPr>
            </w:pPr>
          </w:p>
          <w:p w14:paraId="54193782" w14:textId="77777777" w:rsidR="0021565C" w:rsidRDefault="0021565C" w:rsidP="009A7CD9">
            <w:pPr>
              <w:ind w:firstLine="310"/>
              <w:jc w:val="both"/>
              <w:rPr>
                <w:rFonts w:ascii="Times New Roman" w:hAnsi="Times New Roman" w:cs="Times New Roman"/>
                <w:sz w:val="28"/>
                <w:szCs w:val="28"/>
              </w:rPr>
            </w:pPr>
          </w:p>
          <w:p w14:paraId="71CAA2B9" w14:textId="77777777" w:rsidR="0021565C" w:rsidRDefault="0021565C" w:rsidP="009A7CD9">
            <w:pPr>
              <w:ind w:firstLine="310"/>
              <w:jc w:val="both"/>
              <w:rPr>
                <w:rFonts w:ascii="Times New Roman" w:hAnsi="Times New Roman" w:cs="Times New Roman"/>
                <w:sz w:val="28"/>
                <w:szCs w:val="28"/>
              </w:rPr>
            </w:pPr>
          </w:p>
          <w:p w14:paraId="52A10572" w14:textId="77777777" w:rsidR="0021565C" w:rsidRDefault="0021565C" w:rsidP="009A7CD9">
            <w:pPr>
              <w:ind w:firstLine="310"/>
              <w:jc w:val="both"/>
              <w:rPr>
                <w:rFonts w:ascii="Times New Roman" w:hAnsi="Times New Roman" w:cs="Times New Roman"/>
                <w:sz w:val="28"/>
                <w:szCs w:val="28"/>
              </w:rPr>
            </w:pPr>
          </w:p>
          <w:p w14:paraId="62187496" w14:textId="77777777" w:rsidR="0021565C" w:rsidRDefault="0021565C" w:rsidP="009A7CD9">
            <w:pPr>
              <w:ind w:firstLine="310"/>
              <w:jc w:val="both"/>
              <w:rPr>
                <w:rFonts w:ascii="Times New Roman" w:hAnsi="Times New Roman" w:cs="Times New Roman"/>
                <w:sz w:val="28"/>
                <w:szCs w:val="28"/>
              </w:rPr>
            </w:pPr>
          </w:p>
          <w:p w14:paraId="567FEC8E" w14:textId="77777777" w:rsidR="0021565C" w:rsidRDefault="0021565C" w:rsidP="009A7CD9">
            <w:pPr>
              <w:ind w:firstLine="310"/>
              <w:jc w:val="both"/>
              <w:rPr>
                <w:rFonts w:ascii="Times New Roman" w:hAnsi="Times New Roman" w:cs="Times New Roman"/>
                <w:sz w:val="28"/>
                <w:szCs w:val="28"/>
              </w:rPr>
            </w:pPr>
          </w:p>
          <w:p w14:paraId="4514924A" w14:textId="5F3D8764" w:rsidR="009A7CD9" w:rsidRPr="009A7CD9" w:rsidRDefault="009A7CD9" w:rsidP="009A7CD9">
            <w:pPr>
              <w:ind w:firstLine="310"/>
              <w:jc w:val="both"/>
              <w:rPr>
                <w:rFonts w:ascii="Times New Roman" w:hAnsi="Times New Roman" w:cs="Times New Roman"/>
                <w:sz w:val="28"/>
                <w:szCs w:val="28"/>
              </w:rPr>
            </w:pPr>
            <w:r w:rsidRPr="009A7CD9">
              <w:rPr>
                <w:rFonts w:ascii="Times New Roman" w:hAnsi="Times New Roman" w:cs="Times New Roman"/>
                <w:sz w:val="28"/>
                <w:szCs w:val="28"/>
              </w:rPr>
              <w:t>Раздел обеспечения сохранности при проведении научно-исследовательских работ не требует акта государственной историко-культурной экспертизы. Он не представляется в случае, если указанная документация не обосновывает мер по обеспечению сохранности объекта культурного наследия, выявленного объекта культурного наследия (необходимость мер определяется согласно оценке влияния проводимых работ, содержащейся в Разделе).</w:t>
            </w:r>
          </w:p>
          <w:p w14:paraId="413CE8E4" w14:textId="77777777" w:rsidR="009A7CD9" w:rsidRPr="009A7CD9" w:rsidRDefault="009A7CD9" w:rsidP="009A7CD9">
            <w:pPr>
              <w:ind w:firstLine="310"/>
              <w:jc w:val="both"/>
              <w:rPr>
                <w:rFonts w:ascii="Times New Roman" w:hAnsi="Times New Roman" w:cs="Times New Roman"/>
                <w:sz w:val="28"/>
                <w:szCs w:val="28"/>
              </w:rPr>
            </w:pPr>
            <w:r w:rsidRPr="009A7CD9">
              <w:rPr>
                <w:rFonts w:ascii="Times New Roman" w:hAnsi="Times New Roman" w:cs="Times New Roman"/>
                <w:sz w:val="28"/>
                <w:szCs w:val="28"/>
              </w:rPr>
              <w:t>Положительное заключение (акт) государственной историко-культурной экспертизы документации обосновывает меры по обеспечению сохранности объекта культурного наследия, выявленного объекта культурного наследия по обеспечению сохранности объекта культурного наследия.</w:t>
            </w:r>
          </w:p>
          <w:p w14:paraId="58BF3BA8" w14:textId="77777777" w:rsidR="009A7CD9" w:rsidRPr="009A7CD9" w:rsidRDefault="009A7CD9" w:rsidP="009A7CD9">
            <w:pPr>
              <w:ind w:firstLine="310"/>
              <w:jc w:val="both"/>
              <w:rPr>
                <w:rFonts w:ascii="Times New Roman" w:hAnsi="Times New Roman" w:cs="Times New Roman"/>
                <w:sz w:val="28"/>
                <w:szCs w:val="28"/>
              </w:rPr>
            </w:pPr>
            <w:r w:rsidRPr="009A7CD9">
              <w:rPr>
                <w:rFonts w:ascii="Times New Roman" w:hAnsi="Times New Roman" w:cs="Times New Roman"/>
                <w:sz w:val="28"/>
                <w:szCs w:val="28"/>
              </w:rPr>
              <w:t xml:space="preserve">Разъяснение по пункту 2. Задание уполномоченного органа охраны в области </w:t>
            </w:r>
            <w:r w:rsidRPr="009A7CD9">
              <w:rPr>
                <w:rFonts w:ascii="Times New Roman" w:hAnsi="Times New Roman" w:cs="Times New Roman"/>
                <w:sz w:val="28"/>
                <w:szCs w:val="28"/>
              </w:rPr>
              <w:lastRenderedPageBreak/>
              <w:t xml:space="preserve">культурного наследия содержит общие требования по разработке проектной документации в отношении памятника в целом в соответствии со всей действующей нормативной базой в данной области. Техническое задание – уточняющий перечень требований, условий, целей, задач, поставленных заказчиком в письменном виде, документально оформленных. </w:t>
            </w:r>
          </w:p>
          <w:p w14:paraId="3B608B27" w14:textId="77777777" w:rsidR="009A7CD9" w:rsidRPr="009A7CD9" w:rsidRDefault="009A7CD9" w:rsidP="009A7CD9">
            <w:pPr>
              <w:ind w:firstLine="310"/>
              <w:jc w:val="both"/>
              <w:rPr>
                <w:rFonts w:ascii="Times New Roman" w:hAnsi="Times New Roman" w:cs="Times New Roman"/>
                <w:sz w:val="28"/>
                <w:szCs w:val="28"/>
              </w:rPr>
            </w:pPr>
            <w:r w:rsidRPr="009A7CD9">
              <w:rPr>
                <w:rFonts w:ascii="Times New Roman" w:hAnsi="Times New Roman" w:cs="Times New Roman"/>
                <w:sz w:val="28"/>
                <w:szCs w:val="28"/>
              </w:rPr>
              <w:t>Разъяснение по пункту 4. Пунктами 12.1-12.6 Договора разъяснен порядок взаимодействия сторон при невозможности исполнения обязательств по Договору вследствие обстоятельств непреодолимой силы.</w:t>
            </w:r>
          </w:p>
          <w:p w14:paraId="3469E88B" w14:textId="01C718F6" w:rsidR="00601DBA" w:rsidRDefault="009A7CD9" w:rsidP="009A7CD9">
            <w:pPr>
              <w:ind w:firstLine="310"/>
              <w:jc w:val="both"/>
              <w:rPr>
                <w:rFonts w:ascii="Times New Roman" w:hAnsi="Times New Roman" w:cs="Times New Roman"/>
                <w:sz w:val="28"/>
                <w:szCs w:val="28"/>
              </w:rPr>
            </w:pPr>
            <w:r w:rsidRPr="009A7CD9">
              <w:rPr>
                <w:rFonts w:ascii="Times New Roman" w:hAnsi="Times New Roman" w:cs="Times New Roman"/>
                <w:sz w:val="28"/>
                <w:szCs w:val="28"/>
              </w:rPr>
              <w:t>Также обращаю Ваше внимание, что согласно п.6 ст.45 Федерального закона от 25.06.2002 № 73-ФЗ «Об объектах культурного наследия (памятниках истории и культуры) народов Российской Федерации»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14:paraId="1E36D84F" w14:textId="5528C4F8" w:rsidR="00FB4DC9" w:rsidRPr="00F61E66" w:rsidRDefault="00FB4DC9" w:rsidP="00F61E66">
            <w:pPr>
              <w:ind w:firstLine="310"/>
              <w:jc w:val="both"/>
              <w:rPr>
                <w:rFonts w:ascii="Times New Roman" w:hAnsi="Times New Roman" w:cs="Times New Roman"/>
                <w:sz w:val="28"/>
                <w:szCs w:val="28"/>
              </w:rPr>
            </w:pPr>
          </w:p>
        </w:tc>
      </w:tr>
    </w:tbl>
    <w:p w14:paraId="4EF86EE3" w14:textId="77777777" w:rsidR="00397613" w:rsidRPr="00F61E66" w:rsidRDefault="00397613" w:rsidP="004B7F17">
      <w:pPr>
        <w:jc w:val="both"/>
        <w:rPr>
          <w:rFonts w:ascii="Times New Roman" w:hAnsi="Times New Roman" w:cs="Times New Roman"/>
          <w:sz w:val="28"/>
          <w:szCs w:val="28"/>
        </w:rPr>
      </w:pPr>
    </w:p>
    <w:sectPr w:rsidR="00397613" w:rsidRPr="00F61E66" w:rsidSect="000F56FC">
      <w:pgSz w:w="16838" w:h="11906" w:orient="landscape"/>
      <w:pgMar w:top="1134"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C98"/>
    <w:rsid w:val="000073E6"/>
    <w:rsid w:val="000F56FC"/>
    <w:rsid w:val="000F6077"/>
    <w:rsid w:val="0021565C"/>
    <w:rsid w:val="00223791"/>
    <w:rsid w:val="002761E3"/>
    <w:rsid w:val="002C0DA0"/>
    <w:rsid w:val="00324224"/>
    <w:rsid w:val="00397613"/>
    <w:rsid w:val="00466C9A"/>
    <w:rsid w:val="004B7F17"/>
    <w:rsid w:val="00510CD8"/>
    <w:rsid w:val="00514222"/>
    <w:rsid w:val="005572CD"/>
    <w:rsid w:val="00596CFC"/>
    <w:rsid w:val="005A7FC8"/>
    <w:rsid w:val="00601DBA"/>
    <w:rsid w:val="00650C02"/>
    <w:rsid w:val="00697228"/>
    <w:rsid w:val="006D3193"/>
    <w:rsid w:val="00795CE1"/>
    <w:rsid w:val="007A23B1"/>
    <w:rsid w:val="00805066"/>
    <w:rsid w:val="00811055"/>
    <w:rsid w:val="00822632"/>
    <w:rsid w:val="008A4DB3"/>
    <w:rsid w:val="00920DCC"/>
    <w:rsid w:val="009A1909"/>
    <w:rsid w:val="009A7CD9"/>
    <w:rsid w:val="00A338FF"/>
    <w:rsid w:val="00AD7D62"/>
    <w:rsid w:val="00AE1C98"/>
    <w:rsid w:val="00B233C5"/>
    <w:rsid w:val="00B30AC6"/>
    <w:rsid w:val="00B35BAA"/>
    <w:rsid w:val="00B63F07"/>
    <w:rsid w:val="00B84A93"/>
    <w:rsid w:val="00BC531F"/>
    <w:rsid w:val="00C26C98"/>
    <w:rsid w:val="00C720A7"/>
    <w:rsid w:val="00CC4889"/>
    <w:rsid w:val="00D1744D"/>
    <w:rsid w:val="00D74605"/>
    <w:rsid w:val="00DA39C6"/>
    <w:rsid w:val="00ED3EE7"/>
    <w:rsid w:val="00F0288A"/>
    <w:rsid w:val="00F2434B"/>
    <w:rsid w:val="00F61E66"/>
    <w:rsid w:val="00FB4DC9"/>
    <w:rsid w:val="00FC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00DD"/>
  <w15:chartTrackingRefBased/>
  <w15:docId w15:val="{34C803A4-AC89-4E92-A139-5B79B86EC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F5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815</Words>
  <Characters>4647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Рыбина Евгения Николаевна</dc:creator>
  <cp:keywords/>
  <dc:description/>
  <cp:lastModifiedBy>Пасько Игорь Анатольевич</cp:lastModifiedBy>
  <cp:revision>3</cp:revision>
  <cp:lastPrinted>2019-11-01T11:52:00Z</cp:lastPrinted>
  <dcterms:created xsi:type="dcterms:W3CDTF">2020-11-13T15:39:00Z</dcterms:created>
  <dcterms:modified xsi:type="dcterms:W3CDTF">2020-11-13T15:41:00Z</dcterms:modified>
</cp:coreProperties>
</file>